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55" w:rsidRDefault="00F31F55">
      <w:pPr>
        <w:pStyle w:val="BodyText"/>
        <w:spacing w:before="5"/>
        <w:rPr>
          <w:sz w:val="6"/>
        </w:rPr>
      </w:pPr>
    </w:p>
    <w:p w:rsidR="00F31F55" w:rsidRDefault="00F31F55">
      <w:pPr>
        <w:pStyle w:val="BodyText"/>
        <w:ind w:left="110"/>
        <w:rPr>
          <w:sz w:val="20"/>
        </w:rPr>
      </w:pPr>
      <w:r>
        <w:rPr>
          <w:sz w:val="20"/>
        </w:rPr>
      </w:r>
      <w:r>
        <w:rPr>
          <w:sz w:val="20"/>
        </w:rPr>
        <w:pict>
          <v:group id="_x0000_s1026" style="width:451.8pt;height:150.1pt;mso-position-horizontal-relative:char;mso-position-vertical-relative:line" coordsize="9036,3002">
            <v:shape id="_x0000_s1030" style="position:absolute;width:9036;height:3002" coordsize="9036,3002" o:spt="100" adj="0,,0" path="m,5r9036,m,2997r9036,m5,r,3002e" filled="f" strokeweight=".5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13;top:285;width:1680;height:1680">
              <v:imagedata r:id="rId7" o:title=""/>
            </v:shape>
            <v:shape id="_x0000_s1028" style="position:absolute;left:5687;top:628;width:399;height:251" coordorigin="5687,628" coordsize="399,251" o:spt="100" adj="0,,0" path="m5748,628r-61,l5687,879r61,l5748,628xm6086,628r-59,l6027,879r59,l6086,628xe" fillcolor="#f7f8fa" stroked="f">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2019;top:5;width:7012;height:2992" filled="f" strokeweight=".5pt">
              <v:textbox inset="0,0,0,0">
                <w:txbxContent>
                  <w:p w:rsidR="00F31F55" w:rsidRDefault="004C2501">
                    <w:pPr>
                      <w:spacing w:before="5" w:line="292" w:lineRule="exact"/>
                      <w:ind w:right="103"/>
                      <w:jc w:val="right"/>
                      <w:rPr>
                        <w:rFonts w:ascii="Carlito"/>
                        <w:b/>
                        <w:sz w:val="24"/>
                      </w:rPr>
                    </w:pPr>
                    <w:r>
                      <w:rPr>
                        <w:rFonts w:ascii="Carlito"/>
                        <w:b/>
                        <w:sz w:val="24"/>
                      </w:rPr>
                      <w:t>DIRECTORATE GENERAL OF SYSTEMS &amp; DATA MANAGEMENT</w:t>
                    </w:r>
                  </w:p>
                  <w:p w:rsidR="00F31F55" w:rsidRDefault="004C2501">
                    <w:pPr>
                      <w:spacing w:before="2" w:line="237" w:lineRule="auto"/>
                      <w:ind w:left="3041" w:right="98" w:firstLine="1814"/>
                      <w:jc w:val="both"/>
                      <w:rPr>
                        <w:rFonts w:ascii="Carlito" w:eastAsia="Carlito" w:hAnsi="Carlito" w:cs="Carlito"/>
                        <w:b/>
                        <w:bCs/>
                        <w:sz w:val="24"/>
                        <w:szCs w:val="24"/>
                      </w:rPr>
                    </w:pPr>
                    <w:r>
                      <w:rPr>
                        <w:rFonts w:ascii="Carlito" w:eastAsia="Carlito" w:hAnsi="Carlito" w:cs="Carlito"/>
                        <w:b/>
                        <w:bCs/>
                        <w:sz w:val="24"/>
                        <w:szCs w:val="24"/>
                      </w:rPr>
                      <w:t xml:space="preserve">(Chennai Zonal Unit) </w:t>
                    </w:r>
                    <w:r>
                      <w:rPr>
                        <w:rFonts w:ascii="Noto Sans Devanagari UI" w:eastAsia="Noto Sans Devanagari UI" w:hAnsi="Noto Sans Devanagari UI" w:cs="Mangal"/>
                        <w:b/>
                        <w:bCs/>
                        <w:w w:val="60"/>
                        <w:cs/>
                        <w:lang w:bidi="hi-IN"/>
                      </w:rPr>
                      <w:t>प्</w:t>
                    </w:r>
                    <w:r>
                      <w:rPr>
                        <w:rFonts w:ascii="Noto Sans Devanagari UI" w:eastAsia="Noto Sans Devanagari UI" w:hAnsi="Noto Sans Devanagari UI" w:cs="Mangal"/>
                        <w:b/>
                        <w:bCs/>
                        <w:spacing w:val="-1"/>
                        <w:w w:val="60"/>
                        <w:cs/>
                        <w:lang w:bidi="hi-IN"/>
                      </w:rPr>
                      <w:t>र</w:t>
                    </w:r>
                    <w:r>
                      <w:rPr>
                        <w:rFonts w:ascii="Noto Sans Devanagari UI" w:eastAsia="Noto Sans Devanagari UI" w:hAnsi="Noto Sans Devanagari UI" w:cs="Mangal"/>
                        <w:b/>
                        <w:bCs/>
                        <w:spacing w:val="-1"/>
                        <w:w w:val="103"/>
                        <w:cs/>
                        <w:lang w:bidi="hi-IN"/>
                      </w:rPr>
                      <w:t>ण</w:t>
                    </w:r>
                    <w:r>
                      <w:rPr>
                        <w:rFonts w:ascii="Noto Sans Devanagari UI" w:eastAsia="Noto Sans Devanagari UI" w:hAnsi="Noto Sans Devanagari UI" w:cs="Mangal"/>
                        <w:b/>
                        <w:bCs/>
                        <w:w w:val="103"/>
                        <w:cs/>
                        <w:lang w:bidi="hi-IN"/>
                      </w:rPr>
                      <w:t>ा</w:t>
                    </w:r>
                    <w:r>
                      <w:rPr>
                        <w:rFonts w:ascii="Noto Sans Devanagari UI" w:eastAsia="Noto Sans Devanagari UI" w:hAnsi="Noto Sans Devanagari UI" w:cs="Mangal"/>
                        <w:b/>
                        <w:bCs/>
                        <w:spacing w:val="-1"/>
                        <w:w w:val="103"/>
                        <w:cs/>
                        <w:lang w:bidi="hi-IN"/>
                      </w:rPr>
                      <w:t>ल</w:t>
                    </w:r>
                    <w:r>
                      <w:rPr>
                        <w:rFonts w:ascii="Noto Sans Devanagari UI" w:eastAsia="Noto Sans Devanagari UI" w:hAnsi="Noto Sans Devanagari UI" w:cs="Mangal"/>
                        <w:b/>
                        <w:bCs/>
                        <w:w w:val="104"/>
                        <w:cs/>
                        <w:lang w:bidi="hi-IN"/>
                      </w:rPr>
                      <w:t>ी</w:t>
                    </w:r>
                    <w:r>
                      <w:rPr>
                        <w:rFonts w:ascii="Noto Sans Devanagari UI" w:eastAsia="Noto Sans Devanagari UI" w:hAnsi="Noto Sans Devanagari UI" w:cs="Noto Sans Devanagari UI"/>
                        <w:b/>
                        <w:bCs/>
                      </w:rPr>
                      <w:t xml:space="preserve"> </w:t>
                    </w:r>
                    <w:r>
                      <w:rPr>
                        <w:rFonts w:ascii="Noto Sans Devanagari UI" w:eastAsia="Noto Sans Devanagari UI" w:hAnsi="Noto Sans Devanagari UI" w:cs="Mangal"/>
                        <w:b/>
                        <w:bCs/>
                        <w:w w:val="102"/>
                        <w:cs/>
                        <w:lang w:bidi="hi-IN"/>
                      </w:rPr>
                      <w:t>ए</w:t>
                    </w:r>
                    <w:r>
                      <w:rPr>
                        <w:rFonts w:ascii="Noto Sans Devanagari UI" w:eastAsia="Noto Sans Devanagari UI" w:hAnsi="Noto Sans Devanagari UI" w:cs="Mangal"/>
                        <w:b/>
                        <w:bCs/>
                        <w:spacing w:val="-6"/>
                        <w:w w:val="105"/>
                        <w:cs/>
                        <w:lang w:bidi="hi-IN"/>
                      </w:rPr>
                      <w:t>व</w:t>
                    </w:r>
                    <w:r>
                      <w:rPr>
                        <w:rFonts w:ascii="Noto Sans Devanagari UI" w:eastAsia="Noto Sans Devanagari UI" w:hAnsi="Noto Sans Devanagari UI" w:cs="Mangal"/>
                        <w:b/>
                        <w:bCs/>
                        <w:cs/>
                        <w:lang w:bidi="hi-IN"/>
                      </w:rPr>
                      <w:t>ं</w:t>
                    </w:r>
                    <w:r>
                      <w:rPr>
                        <w:rFonts w:ascii="Noto Sans Devanagari UI" w:eastAsia="Noto Sans Devanagari UI" w:hAnsi="Noto Sans Devanagari UI" w:cs="Noto Sans Devanagari UI"/>
                        <w:b/>
                        <w:bCs/>
                      </w:rPr>
                      <w:t xml:space="preserve"> </w:t>
                    </w:r>
                    <w:r>
                      <w:rPr>
                        <w:rFonts w:ascii="Noto Sans Devanagari UI" w:eastAsia="Noto Sans Devanagari UI" w:hAnsi="Noto Sans Devanagari UI" w:cs="Mangal"/>
                        <w:b/>
                        <w:bCs/>
                        <w:spacing w:val="-12"/>
                        <w:w w:val="102"/>
                        <w:cs/>
                        <w:lang w:bidi="hi-IN"/>
                      </w:rPr>
                      <w:t>आ</w:t>
                    </w:r>
                    <w:r>
                      <w:rPr>
                        <w:rFonts w:ascii="Noto Sans Devanagari UI" w:eastAsia="Noto Sans Devanagari UI" w:hAnsi="Noto Sans Devanagari UI" w:cs="Mangal"/>
                        <w:b/>
                        <w:bCs/>
                        <w:spacing w:val="11"/>
                        <w:cs/>
                        <w:lang w:bidi="hi-IN"/>
                      </w:rPr>
                      <w:t>ं</w:t>
                    </w:r>
                    <w:r>
                      <w:rPr>
                        <w:rFonts w:ascii="Noto Sans Devanagari UI" w:eastAsia="Noto Sans Devanagari UI" w:hAnsi="Noto Sans Devanagari UI" w:cs="Mangal"/>
                        <w:b/>
                        <w:bCs/>
                        <w:w w:val="110"/>
                        <w:cs/>
                        <w:lang w:bidi="hi-IN"/>
                      </w:rPr>
                      <w:t>क</w:t>
                    </w:r>
                    <w:r>
                      <w:rPr>
                        <w:rFonts w:ascii="Noto Sans Devanagari UI" w:eastAsia="Noto Sans Devanagari UI" w:hAnsi="Noto Sans Devanagari UI" w:cs="Mangal"/>
                        <w:b/>
                        <w:bCs/>
                        <w:spacing w:val="-1"/>
                        <w:w w:val="106"/>
                        <w:cs/>
                        <w:lang w:bidi="hi-IN"/>
                      </w:rPr>
                      <w:t>ड़</w:t>
                    </w:r>
                    <w:r>
                      <w:rPr>
                        <w:rFonts w:ascii="Noto Sans Devanagari UI" w:eastAsia="Noto Sans Devanagari UI" w:hAnsi="Noto Sans Devanagari UI" w:cs="Mangal"/>
                        <w:b/>
                        <w:bCs/>
                        <w:w w:val="106"/>
                        <w:cs/>
                        <w:lang w:bidi="hi-IN"/>
                      </w:rPr>
                      <w:t>ा</w:t>
                    </w:r>
                    <w:r>
                      <w:rPr>
                        <w:rFonts w:ascii="Noto Sans Devanagari UI" w:eastAsia="Noto Sans Devanagari UI" w:hAnsi="Noto Sans Devanagari UI" w:cs="Noto Sans Devanagari UI"/>
                        <w:b/>
                        <w:bCs/>
                      </w:rPr>
                      <w:t xml:space="preserve">  </w:t>
                    </w:r>
                    <w:r>
                      <w:rPr>
                        <w:rFonts w:ascii="Noto Sans Devanagari UI" w:eastAsia="Noto Sans Devanagari UI" w:hAnsi="Noto Sans Devanagari UI" w:cs="Mangal"/>
                        <w:b/>
                        <w:bCs/>
                        <w:w w:val="60"/>
                        <w:cs/>
                        <w:lang w:bidi="hi-IN"/>
                      </w:rPr>
                      <w:t>प्</w:t>
                    </w:r>
                    <w:r>
                      <w:rPr>
                        <w:rFonts w:ascii="Noto Sans Devanagari UI" w:eastAsia="Noto Sans Devanagari UI" w:hAnsi="Noto Sans Devanagari UI" w:cs="Mangal"/>
                        <w:b/>
                        <w:bCs/>
                        <w:spacing w:val="-1"/>
                        <w:w w:val="60"/>
                        <w:cs/>
                        <w:lang w:bidi="hi-IN"/>
                      </w:rPr>
                      <w:t>र</w:t>
                    </w:r>
                    <w:r>
                      <w:rPr>
                        <w:rFonts w:ascii="Noto Sans Devanagari UI" w:eastAsia="Noto Sans Devanagari UI" w:hAnsi="Noto Sans Devanagari UI" w:cs="Mangal"/>
                        <w:b/>
                        <w:bCs/>
                        <w:spacing w:val="-7"/>
                        <w:w w:val="106"/>
                        <w:cs/>
                        <w:lang w:bidi="hi-IN"/>
                      </w:rPr>
                      <w:t>ब</w:t>
                    </w:r>
                    <w:r>
                      <w:rPr>
                        <w:rFonts w:ascii="Noto Sans Devanagari UI" w:eastAsia="Noto Sans Devanagari UI" w:hAnsi="Noto Sans Devanagari UI" w:cs="Mangal"/>
                        <w:b/>
                        <w:bCs/>
                        <w:spacing w:val="5"/>
                        <w:cs/>
                        <w:lang w:bidi="hi-IN"/>
                      </w:rPr>
                      <w:t>ं</w:t>
                    </w:r>
                    <w:r>
                      <w:rPr>
                        <w:rFonts w:ascii="Noto Sans Devanagari UI" w:eastAsia="Noto Sans Devanagari UI" w:hAnsi="Noto Sans Devanagari UI" w:cs="Mangal"/>
                        <w:b/>
                        <w:bCs/>
                        <w:w w:val="104"/>
                        <w:cs/>
                        <w:lang w:bidi="hi-IN"/>
                      </w:rPr>
                      <w:t>ध</w:t>
                    </w:r>
                    <w:r>
                      <w:rPr>
                        <w:rFonts w:ascii="Noto Sans Devanagari UI" w:eastAsia="Noto Sans Devanagari UI" w:hAnsi="Noto Sans Devanagari UI" w:cs="Mangal"/>
                        <w:b/>
                        <w:bCs/>
                        <w:w w:val="112"/>
                        <w:cs/>
                        <w:lang w:bidi="hi-IN"/>
                      </w:rPr>
                      <w:t>न</w:t>
                    </w:r>
                    <w:r>
                      <w:rPr>
                        <w:rFonts w:ascii="Noto Sans Devanagari UI" w:eastAsia="Noto Sans Devanagari UI" w:hAnsi="Noto Sans Devanagari UI" w:cs="Noto Sans Devanagari UI"/>
                        <w:b/>
                        <w:bCs/>
                      </w:rPr>
                      <w:t xml:space="preserve"> </w:t>
                    </w:r>
                    <w:r>
                      <w:rPr>
                        <w:rFonts w:ascii="Noto Sans Devanagari UI" w:eastAsia="Noto Sans Devanagari UI" w:hAnsi="Noto Sans Devanagari UI" w:cs="Mangal"/>
                        <w:w w:val="61"/>
                        <w:shd w:val="clear" w:color="auto" w:fill="F7F7F7"/>
                        <w:cs/>
                        <w:lang w:bidi="hi-IN"/>
                      </w:rPr>
                      <w:t>प्</w:t>
                    </w:r>
                    <w:r>
                      <w:rPr>
                        <w:rFonts w:ascii="Noto Sans Devanagari UI" w:eastAsia="Noto Sans Devanagari UI" w:hAnsi="Noto Sans Devanagari UI" w:cs="Mangal"/>
                        <w:spacing w:val="-1"/>
                        <w:w w:val="61"/>
                        <w:shd w:val="clear" w:color="auto" w:fill="F7F7F7"/>
                        <w:cs/>
                        <w:lang w:bidi="hi-IN"/>
                      </w:rPr>
                      <w:t>र</w:t>
                    </w:r>
                    <w:r>
                      <w:rPr>
                        <w:rFonts w:ascii="Noto Sans Devanagari UI" w:eastAsia="Noto Sans Devanagari UI" w:hAnsi="Noto Sans Devanagari UI" w:cs="Mangal"/>
                        <w:w w:val="103"/>
                        <w:shd w:val="clear" w:color="auto" w:fill="F7F7F7"/>
                        <w:cs/>
                        <w:lang w:bidi="hi-IN"/>
                      </w:rPr>
                      <w:t>ध</w:t>
                    </w:r>
                    <w:r>
                      <w:rPr>
                        <w:rFonts w:ascii="Noto Sans Devanagari UI" w:eastAsia="Noto Sans Devanagari UI" w:hAnsi="Noto Sans Devanagari UI" w:cs="Mangal"/>
                        <w:shd w:val="clear" w:color="auto" w:fill="F7F7F7"/>
                        <w:cs/>
                        <w:lang w:bidi="hi-IN"/>
                      </w:rPr>
                      <w:t>ा</w:t>
                    </w:r>
                    <w:r>
                      <w:rPr>
                        <w:rFonts w:ascii="Noto Sans Devanagari UI" w:eastAsia="Noto Sans Devanagari UI" w:hAnsi="Noto Sans Devanagari UI" w:cs="Mangal"/>
                        <w:w w:val="109"/>
                        <w:shd w:val="clear" w:color="auto" w:fill="F7F7F7"/>
                        <w:cs/>
                        <w:lang w:bidi="hi-IN"/>
                      </w:rPr>
                      <w:t>न</w:t>
                    </w:r>
                    <w:r>
                      <w:rPr>
                        <w:rFonts w:ascii="Noto Sans Devanagari UI" w:eastAsia="Noto Sans Devanagari UI" w:hAnsi="Noto Sans Devanagari UI" w:cs="Noto Sans Devanagari UI"/>
                      </w:rPr>
                      <w:t xml:space="preserve"> </w:t>
                    </w:r>
                    <w:r>
                      <w:rPr>
                        <w:rFonts w:ascii="Noto Sans Devanagari UI" w:eastAsia="Noto Sans Devanagari UI" w:hAnsi="Noto Sans Devanagari UI" w:cs="Mangal"/>
                        <w:color w:val="212121"/>
                        <w:w w:val="31"/>
                        <w:shd w:val="clear" w:color="auto" w:fill="F7F8FA"/>
                        <w:cs/>
                        <w:lang w:bidi="hi-IN"/>
                      </w:rPr>
                      <w:t>नि</w:t>
                    </w:r>
                    <w:r>
                      <w:rPr>
                        <w:rFonts w:ascii="Noto Sans Devanagari UI" w:eastAsia="Noto Sans Devanagari UI" w:hAnsi="Noto Sans Devanagari UI" w:cs="Mangal"/>
                        <w:color w:val="212121"/>
                        <w:spacing w:val="-2"/>
                        <w:w w:val="109"/>
                        <w:shd w:val="clear" w:color="auto" w:fill="F7F8FA"/>
                        <w:cs/>
                        <w:lang w:bidi="hi-IN"/>
                      </w:rPr>
                      <w:t>न</w:t>
                    </w:r>
                    <w:r>
                      <w:rPr>
                        <w:rFonts w:ascii="Noto Sans Devanagari UI" w:eastAsia="Noto Sans Devanagari UI" w:hAnsi="Noto Sans Devanagari UI" w:cs="Mangal"/>
                        <w:color w:val="212121"/>
                        <w:spacing w:val="-22"/>
                        <w:w w:val="119"/>
                        <w:shd w:val="clear" w:color="auto" w:fill="F7F8FA"/>
                        <w:cs/>
                        <w:lang w:bidi="hi-IN"/>
                      </w:rPr>
                      <w:t>द</w:t>
                    </w:r>
                    <w:r>
                      <w:rPr>
                        <w:rFonts w:ascii="Noto Sans Devanagari UI" w:eastAsia="Noto Sans Devanagari UI" w:hAnsi="Noto Sans Devanagari UI" w:cs="Mangal"/>
                        <w:color w:val="212121"/>
                        <w:shd w:val="clear" w:color="auto" w:fill="F7F8FA"/>
                        <w:cs/>
                        <w:lang w:bidi="hi-IN"/>
                      </w:rPr>
                      <w:t>े</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Mangal"/>
                        <w:color w:val="212121"/>
                        <w:spacing w:val="-1"/>
                        <w:w w:val="110"/>
                        <w:shd w:val="clear" w:color="auto" w:fill="F7F8FA"/>
                        <w:cs/>
                        <w:lang w:bidi="hi-IN"/>
                      </w:rPr>
                      <w:t>श</w:t>
                    </w:r>
                    <w:r>
                      <w:rPr>
                        <w:rFonts w:ascii="Noto Sans Devanagari UI" w:eastAsia="Noto Sans Devanagari UI" w:hAnsi="Noto Sans Devanagari UI" w:cs="Mangal"/>
                        <w:color w:val="212121"/>
                        <w:w w:val="110"/>
                        <w:shd w:val="clear" w:color="auto" w:fill="F7F8FA"/>
                        <w:cs/>
                        <w:lang w:bidi="hi-IN"/>
                      </w:rPr>
                      <w:t>ा</w:t>
                    </w:r>
                    <w:r>
                      <w:rPr>
                        <w:rFonts w:ascii="Noto Sans Devanagari UI" w:eastAsia="Noto Sans Devanagari UI" w:hAnsi="Noto Sans Devanagari UI" w:cs="Mangal"/>
                        <w:color w:val="212121"/>
                        <w:w w:val="105"/>
                        <w:shd w:val="clear" w:color="auto" w:fill="F7F8FA"/>
                        <w:cs/>
                        <w:lang w:bidi="hi-IN"/>
                      </w:rPr>
                      <w:t>ल</w:t>
                    </w:r>
                    <w:r>
                      <w:rPr>
                        <w:rFonts w:ascii="Noto Sans Devanagari UI" w:eastAsia="Noto Sans Devanagari UI" w:hAnsi="Noto Sans Devanagari UI" w:cs="Mangal"/>
                        <w:color w:val="212121"/>
                        <w:w w:val="107"/>
                        <w:shd w:val="clear" w:color="auto" w:fill="F7F8FA"/>
                        <w:cs/>
                        <w:lang w:bidi="hi-IN"/>
                      </w:rPr>
                      <w:t>य</w:t>
                    </w:r>
                    <w:r>
                      <w:rPr>
                        <w:rFonts w:ascii="Noto Sans Devanagari UI" w:eastAsia="Noto Sans Devanagari UI" w:hAnsi="Noto Sans Devanagari UI" w:cs="Noto Sans Devanagari UI"/>
                        <w:color w:val="212121"/>
                        <w:w w:val="107"/>
                      </w:rPr>
                      <w:t xml:space="preserve"> </w:t>
                    </w:r>
                    <w:r>
                      <w:rPr>
                        <w:rFonts w:ascii="Carlito" w:eastAsia="Carlito" w:hAnsi="Carlito" w:cs="Carlito"/>
                        <w:b/>
                        <w:bCs/>
                        <w:sz w:val="24"/>
                        <w:szCs w:val="24"/>
                      </w:rPr>
                      <w:t>GST &amp; CENTRAL EXCISE, GST BHAVAN,</w:t>
                    </w:r>
                  </w:p>
                  <w:p w:rsidR="00F31F55" w:rsidRDefault="004C2501">
                    <w:pPr>
                      <w:spacing w:line="322" w:lineRule="exact"/>
                      <w:ind w:left="2805"/>
                      <w:rPr>
                        <w:rFonts w:ascii="Noto Sans Devanagari UI" w:eastAsia="Noto Sans Devanagari UI" w:hAnsi="Noto Sans Devanagari UI" w:cs="Noto Sans Devanagari UI"/>
                      </w:rPr>
                    </w:pPr>
                    <w:r>
                      <w:rPr>
                        <w:rFonts w:ascii="Noto Sans Devanagari UI" w:eastAsia="Noto Sans Devanagari UI" w:hAnsi="Noto Sans Devanagari UI" w:cs="Mangal"/>
                        <w:color w:val="212121"/>
                        <w:cs/>
                        <w:lang w:bidi="hi-IN"/>
                      </w:rPr>
                      <w:t>जीएसटी</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Mangal"/>
                        <w:color w:val="212121"/>
                        <w:cs/>
                        <w:lang w:bidi="hi-IN"/>
                      </w:rPr>
                      <w:t>और</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Mangal"/>
                        <w:color w:val="212121"/>
                        <w:spacing w:val="-25"/>
                        <w:cs/>
                        <w:lang w:bidi="hi-IN"/>
                      </w:rPr>
                      <w:t>कें</w:t>
                    </w:r>
                    <w:r>
                      <w:rPr>
                        <w:rFonts w:ascii="Noto Sans Devanagari UI" w:eastAsia="Noto Sans Devanagari UI" w:hAnsi="Noto Sans Devanagari UI" w:cs="Noto Sans Devanagari UI"/>
                        <w:color w:val="212121"/>
                        <w:spacing w:val="-25"/>
                      </w:rPr>
                      <w:t xml:space="preserve">   </w:t>
                    </w:r>
                    <w:r>
                      <w:rPr>
                        <w:rFonts w:ascii="Noto Sans Devanagari UI" w:eastAsia="Noto Sans Devanagari UI" w:hAnsi="Noto Sans Devanagari UI" w:cs="Mangal"/>
                        <w:color w:val="212121"/>
                        <w:cs/>
                        <w:lang w:bidi="hi-IN"/>
                      </w:rPr>
                      <w:t>द्रीय</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Mangal"/>
                        <w:color w:val="212121"/>
                        <w:cs/>
                        <w:lang w:bidi="hi-IN"/>
                      </w:rPr>
                      <w:t>उत्पाद</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Mangal"/>
                        <w:color w:val="212121"/>
                        <w:cs/>
                        <w:lang w:bidi="hi-IN"/>
                      </w:rPr>
                      <w:t>शुल्क</w:t>
                    </w:r>
                    <w:r>
                      <w:rPr>
                        <w:rFonts w:ascii="Noto Sans Devanagari UI" w:eastAsia="Noto Sans Devanagari UI" w:hAnsi="Noto Sans Devanagari UI" w:cs="Noto Sans Devanagari UI"/>
                        <w:color w:val="212121"/>
                        <w:sz w:val="24"/>
                        <w:szCs w:val="24"/>
                      </w:rPr>
                      <w:t xml:space="preserve">, </w:t>
                    </w:r>
                    <w:r>
                      <w:rPr>
                        <w:rFonts w:ascii="Noto Sans Devanagari UI" w:eastAsia="Noto Sans Devanagari UI" w:hAnsi="Noto Sans Devanagari UI" w:cs="Mangal"/>
                        <w:color w:val="212121"/>
                        <w:cs/>
                        <w:lang w:bidi="hi-IN"/>
                      </w:rPr>
                      <w:t>जीएसटी</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Noto Sans Devanagari UI"/>
                        <w:color w:val="212121"/>
                        <w:spacing w:val="52"/>
                      </w:rPr>
                      <w:t xml:space="preserve"> </w:t>
                    </w:r>
                    <w:r>
                      <w:rPr>
                        <w:rFonts w:ascii="Noto Sans Devanagari UI" w:eastAsia="Noto Sans Devanagari UI" w:hAnsi="Noto Sans Devanagari UI" w:cs="Mangal"/>
                        <w:color w:val="212121"/>
                        <w:cs/>
                        <w:lang w:bidi="hi-IN"/>
                      </w:rPr>
                      <w:t>भवन</w:t>
                    </w:r>
                  </w:p>
                  <w:p w:rsidR="00F31F55" w:rsidRDefault="004C2501">
                    <w:pPr>
                      <w:spacing w:line="290" w:lineRule="exact"/>
                      <w:ind w:right="104"/>
                      <w:jc w:val="right"/>
                      <w:rPr>
                        <w:rFonts w:ascii="Carlito"/>
                        <w:b/>
                        <w:sz w:val="24"/>
                      </w:rPr>
                    </w:pPr>
                    <w:r>
                      <w:rPr>
                        <w:rFonts w:ascii="Carlito"/>
                        <w:b/>
                        <w:sz w:val="24"/>
                      </w:rPr>
                      <w:t>No. 26/1, MAHATHMA GANDHI ROAD,</w:t>
                    </w:r>
                    <w:r>
                      <w:rPr>
                        <w:rFonts w:ascii="Carlito"/>
                        <w:b/>
                        <w:spacing w:val="-21"/>
                        <w:sz w:val="24"/>
                      </w:rPr>
                      <w:t xml:space="preserve"> </w:t>
                    </w:r>
                    <w:r>
                      <w:rPr>
                        <w:rFonts w:ascii="Carlito"/>
                        <w:b/>
                        <w:sz w:val="24"/>
                      </w:rPr>
                      <w:t>NUNGAMBAKKAM,</w:t>
                    </w:r>
                  </w:p>
                  <w:p w:rsidR="00F31F55" w:rsidRDefault="004C2501">
                    <w:pPr>
                      <w:spacing w:before="1" w:line="291" w:lineRule="exact"/>
                      <w:ind w:right="99"/>
                      <w:jc w:val="right"/>
                      <w:rPr>
                        <w:rFonts w:ascii="Carlito"/>
                        <w:b/>
                        <w:sz w:val="24"/>
                      </w:rPr>
                    </w:pPr>
                    <w:r>
                      <w:rPr>
                        <w:rFonts w:ascii="Carlito"/>
                        <w:b/>
                        <w:sz w:val="24"/>
                      </w:rPr>
                      <w:t>CHENNAI</w:t>
                    </w:r>
                    <w:r>
                      <w:rPr>
                        <w:rFonts w:ascii="Carlito"/>
                        <w:b/>
                        <w:spacing w:val="-7"/>
                        <w:sz w:val="24"/>
                      </w:rPr>
                      <w:t xml:space="preserve"> </w:t>
                    </w:r>
                    <w:r>
                      <w:rPr>
                        <w:rFonts w:ascii="Carlito"/>
                        <w:b/>
                        <w:sz w:val="24"/>
                      </w:rPr>
                      <w:t>-34</w:t>
                    </w:r>
                  </w:p>
                  <w:p w:rsidR="00F31F55" w:rsidRDefault="004C2501">
                    <w:pPr>
                      <w:spacing w:line="323" w:lineRule="exact"/>
                      <w:ind w:left="2925"/>
                      <w:rPr>
                        <w:rFonts w:ascii="Noto Sans Devanagari UI" w:eastAsia="Noto Sans Devanagari UI" w:hAnsi="Noto Sans Devanagari UI" w:cs="Noto Sans Devanagari UI"/>
                        <w:sz w:val="24"/>
                        <w:szCs w:val="24"/>
                      </w:rPr>
                    </w:pPr>
                    <w:r>
                      <w:rPr>
                        <w:rFonts w:ascii="DejaVu Sans" w:eastAsia="DejaVu Sans" w:hAnsi="DejaVu Sans" w:cs="DejaVu Sans"/>
                        <w:i/>
                        <w:color w:val="212121"/>
                        <w:spacing w:val="-1"/>
                        <w:sz w:val="24"/>
                        <w:szCs w:val="24"/>
                      </w:rPr>
                      <w:t>26/</w:t>
                    </w:r>
                    <w:r>
                      <w:rPr>
                        <w:rFonts w:ascii="DejaVu Sans" w:eastAsia="DejaVu Sans" w:hAnsi="DejaVu Sans" w:cs="DejaVu Sans"/>
                        <w:i/>
                        <w:color w:val="212121"/>
                        <w:spacing w:val="3"/>
                        <w:sz w:val="24"/>
                        <w:szCs w:val="24"/>
                      </w:rPr>
                      <w:t>1</w:t>
                    </w:r>
                    <w:r>
                      <w:rPr>
                        <w:rFonts w:ascii="DejaVu Sans" w:eastAsia="DejaVu Sans" w:hAnsi="DejaVu Sans" w:cs="DejaVu Sans"/>
                        <w:i/>
                        <w:color w:val="212121"/>
                        <w:sz w:val="24"/>
                        <w:szCs w:val="24"/>
                      </w:rPr>
                      <w:t>,</w:t>
                    </w:r>
                    <w:r>
                      <w:rPr>
                        <w:rFonts w:ascii="DejaVu Sans" w:eastAsia="DejaVu Sans" w:hAnsi="DejaVu Sans" w:cs="DejaVu Sans"/>
                        <w:i/>
                        <w:color w:val="212121"/>
                        <w:spacing w:val="-1"/>
                        <w:sz w:val="24"/>
                        <w:szCs w:val="24"/>
                      </w:rPr>
                      <w:t xml:space="preserve"> </w:t>
                    </w:r>
                    <w:r>
                      <w:rPr>
                        <w:rFonts w:ascii="Noto Sans Devanagari UI" w:eastAsia="Noto Sans Devanagari UI" w:hAnsi="Noto Sans Devanagari UI" w:cs="Mangal"/>
                        <w:color w:val="212121"/>
                        <w:spacing w:val="-1"/>
                        <w:w w:val="112"/>
                        <w:cs/>
                        <w:lang w:bidi="hi-IN"/>
                      </w:rPr>
                      <w:t>मह</w:t>
                    </w:r>
                    <w:r>
                      <w:rPr>
                        <w:rFonts w:ascii="Noto Sans Devanagari UI" w:eastAsia="Noto Sans Devanagari UI" w:hAnsi="Noto Sans Devanagari UI" w:cs="Mangal"/>
                        <w:color w:val="212121"/>
                        <w:cs/>
                        <w:lang w:bidi="hi-IN"/>
                      </w:rPr>
                      <w:t>ा</w:t>
                    </w:r>
                    <w:r>
                      <w:rPr>
                        <w:rFonts w:ascii="Noto Sans Devanagari UI" w:eastAsia="Noto Sans Devanagari UI" w:hAnsi="Noto Sans Devanagari UI" w:cs="Mangal"/>
                        <w:color w:val="212121"/>
                        <w:w w:val="78"/>
                        <w:cs/>
                        <w:lang w:bidi="hi-IN"/>
                      </w:rPr>
                      <w:t>त्</w:t>
                    </w:r>
                    <w:r>
                      <w:rPr>
                        <w:rFonts w:ascii="Noto Sans Devanagari UI" w:eastAsia="Noto Sans Devanagari UI" w:hAnsi="Noto Sans Devanagari UI" w:cs="Mangal"/>
                        <w:color w:val="212121"/>
                        <w:spacing w:val="-2"/>
                        <w:w w:val="78"/>
                        <w:cs/>
                        <w:lang w:bidi="hi-IN"/>
                      </w:rPr>
                      <w:t>म</w:t>
                    </w:r>
                    <w:r>
                      <w:rPr>
                        <w:rFonts w:ascii="Noto Sans Devanagari UI" w:eastAsia="Noto Sans Devanagari UI" w:hAnsi="Noto Sans Devanagari UI" w:cs="Mangal"/>
                        <w:color w:val="212121"/>
                        <w:cs/>
                        <w:lang w:bidi="hi-IN"/>
                      </w:rPr>
                      <w:t>ा</w:t>
                    </w:r>
                    <w:r>
                      <w:rPr>
                        <w:rFonts w:ascii="Noto Sans Devanagari UI" w:eastAsia="Noto Sans Devanagari UI" w:hAnsi="Noto Sans Devanagari UI" w:cs="Noto Sans Devanagari UI"/>
                        <w:color w:val="212121"/>
                        <w:spacing w:val="-1"/>
                      </w:rPr>
                      <w:t xml:space="preserve"> </w:t>
                    </w:r>
                    <w:r>
                      <w:rPr>
                        <w:rFonts w:ascii="Noto Sans Devanagari UI" w:eastAsia="Noto Sans Devanagari UI" w:hAnsi="Noto Sans Devanagari UI" w:cs="Mangal"/>
                        <w:color w:val="212121"/>
                        <w:spacing w:val="-2"/>
                        <w:w w:val="110"/>
                        <w:cs/>
                        <w:lang w:bidi="hi-IN"/>
                      </w:rPr>
                      <w:t>ग</w:t>
                    </w:r>
                    <w:r>
                      <w:rPr>
                        <w:rFonts w:ascii="Noto Sans Devanagari UI" w:eastAsia="Noto Sans Devanagari UI" w:hAnsi="Noto Sans Devanagari UI" w:cs="Mangal"/>
                        <w:color w:val="212121"/>
                        <w:spacing w:val="-8"/>
                        <w:cs/>
                        <w:lang w:bidi="hi-IN"/>
                      </w:rPr>
                      <w:t>ा</w:t>
                    </w:r>
                    <w:r>
                      <w:rPr>
                        <w:rFonts w:ascii="Noto Sans Devanagari UI" w:eastAsia="Noto Sans Devanagari UI" w:hAnsi="Noto Sans Devanagari UI" w:cs="Mangal"/>
                        <w:color w:val="212121"/>
                        <w:spacing w:val="7"/>
                        <w:cs/>
                        <w:lang w:bidi="hi-IN"/>
                      </w:rPr>
                      <w:t>ँ</w:t>
                    </w:r>
                    <w:r>
                      <w:rPr>
                        <w:rFonts w:ascii="Noto Sans Devanagari UI" w:eastAsia="Noto Sans Devanagari UI" w:hAnsi="Noto Sans Devanagari UI" w:cs="Mangal"/>
                        <w:color w:val="212121"/>
                        <w:spacing w:val="-2"/>
                        <w:w w:val="103"/>
                        <w:cs/>
                        <w:lang w:bidi="hi-IN"/>
                      </w:rPr>
                      <w:t>ध</w:t>
                    </w:r>
                    <w:r>
                      <w:rPr>
                        <w:rFonts w:ascii="Noto Sans Devanagari UI" w:eastAsia="Noto Sans Devanagari UI" w:hAnsi="Noto Sans Devanagari UI" w:cs="Mangal"/>
                        <w:color w:val="212121"/>
                        <w:cs/>
                        <w:lang w:bidi="hi-IN"/>
                      </w:rPr>
                      <w:t>ी</w:t>
                    </w:r>
                    <w:r>
                      <w:rPr>
                        <w:rFonts w:ascii="Noto Sans Devanagari UI" w:eastAsia="Noto Sans Devanagari UI" w:hAnsi="Noto Sans Devanagari UI" w:cs="Noto Sans Devanagari UI"/>
                        <w:color w:val="212121"/>
                      </w:rPr>
                      <w:t xml:space="preserve"> </w:t>
                    </w:r>
                    <w:r>
                      <w:rPr>
                        <w:rFonts w:ascii="Noto Sans Devanagari UI" w:eastAsia="Noto Sans Devanagari UI" w:hAnsi="Noto Sans Devanagari UI" w:cs="Mangal"/>
                        <w:color w:val="212121"/>
                        <w:spacing w:val="-2"/>
                        <w:w w:val="119"/>
                        <w:cs/>
                        <w:lang w:bidi="hi-IN"/>
                      </w:rPr>
                      <w:t>र</w:t>
                    </w:r>
                    <w:r>
                      <w:rPr>
                        <w:rFonts w:ascii="Noto Sans Devanagari UI" w:eastAsia="Noto Sans Devanagari UI" w:hAnsi="Noto Sans Devanagari UI" w:cs="Mangal"/>
                        <w:color w:val="212121"/>
                        <w:cs/>
                        <w:lang w:bidi="hi-IN"/>
                      </w:rPr>
                      <w:t>ो</w:t>
                    </w:r>
                    <w:r>
                      <w:rPr>
                        <w:rFonts w:ascii="Noto Sans Devanagari UI" w:eastAsia="Noto Sans Devanagari UI" w:hAnsi="Noto Sans Devanagari UI" w:cs="Mangal"/>
                        <w:color w:val="212121"/>
                        <w:w w:val="114"/>
                        <w:cs/>
                        <w:lang w:bidi="hi-IN"/>
                      </w:rPr>
                      <w:t>ड</w:t>
                    </w:r>
                    <w:r>
                      <w:rPr>
                        <w:rFonts w:ascii="Noto Sans Devanagari UI" w:eastAsia="Noto Sans Devanagari UI" w:hAnsi="Noto Sans Devanagari UI" w:cs="Noto Sans Devanagari UI"/>
                        <w:color w:val="212121"/>
                        <w:w w:val="86"/>
                        <w:sz w:val="24"/>
                        <w:szCs w:val="24"/>
                      </w:rPr>
                      <w:t>,</w:t>
                    </w:r>
                    <w:r>
                      <w:rPr>
                        <w:rFonts w:ascii="Noto Sans Devanagari UI" w:eastAsia="Noto Sans Devanagari UI" w:hAnsi="Noto Sans Devanagari UI" w:cs="Noto Sans Devanagari UI"/>
                        <w:color w:val="212121"/>
                        <w:spacing w:val="3"/>
                        <w:sz w:val="24"/>
                        <w:szCs w:val="24"/>
                      </w:rPr>
                      <w:t xml:space="preserve"> </w:t>
                    </w:r>
                    <w:r>
                      <w:rPr>
                        <w:rFonts w:ascii="Noto Sans Devanagari UI" w:eastAsia="Noto Sans Devanagari UI" w:hAnsi="Noto Sans Devanagari UI" w:cs="Mangal"/>
                        <w:color w:val="212121"/>
                        <w:spacing w:val="-6"/>
                        <w:w w:val="109"/>
                        <w:cs/>
                        <w:lang w:bidi="hi-IN"/>
                      </w:rPr>
                      <w:t>न</w:t>
                    </w:r>
                    <w:r>
                      <w:rPr>
                        <w:rFonts w:ascii="Noto Sans Devanagari UI" w:eastAsia="Noto Sans Devanagari UI" w:hAnsi="Noto Sans Devanagari UI" w:cs="Mangal"/>
                        <w:color w:val="212121"/>
                        <w:spacing w:val="3"/>
                        <w:cs/>
                        <w:lang w:bidi="hi-IN"/>
                      </w:rPr>
                      <w:t>ु</w:t>
                    </w:r>
                    <w:r>
                      <w:rPr>
                        <w:rFonts w:ascii="Noto Sans Devanagari UI" w:eastAsia="Noto Sans Devanagari UI" w:hAnsi="Noto Sans Devanagari UI" w:cs="Mangal"/>
                        <w:color w:val="212121"/>
                        <w:spacing w:val="-6"/>
                        <w:w w:val="110"/>
                        <w:cs/>
                        <w:lang w:bidi="hi-IN"/>
                      </w:rPr>
                      <w:t>ग</w:t>
                    </w:r>
                    <w:r>
                      <w:rPr>
                        <w:rFonts w:ascii="Noto Sans Devanagari UI" w:eastAsia="Noto Sans Devanagari UI" w:hAnsi="Noto Sans Devanagari UI" w:cs="Mangal"/>
                        <w:color w:val="212121"/>
                        <w:spacing w:val="5"/>
                        <w:cs/>
                        <w:lang w:bidi="hi-IN"/>
                      </w:rPr>
                      <w:t>ं</w:t>
                    </w:r>
                    <w:r>
                      <w:rPr>
                        <w:rFonts w:ascii="Noto Sans Devanagari UI" w:eastAsia="Noto Sans Devanagari UI" w:hAnsi="Noto Sans Devanagari UI" w:cs="Mangal"/>
                        <w:color w:val="212121"/>
                        <w:w w:val="109"/>
                        <w:cs/>
                        <w:lang w:bidi="hi-IN"/>
                      </w:rPr>
                      <w:t>ब</w:t>
                    </w:r>
                    <w:r>
                      <w:rPr>
                        <w:rFonts w:ascii="Noto Sans Devanagari UI" w:eastAsia="Noto Sans Devanagari UI" w:hAnsi="Noto Sans Devanagari UI" w:cs="Mangal"/>
                        <w:color w:val="212121"/>
                        <w:spacing w:val="-1"/>
                        <w:w w:val="97"/>
                        <w:cs/>
                        <w:lang w:bidi="hi-IN"/>
                      </w:rPr>
                      <w:t>क्क</w:t>
                    </w:r>
                    <w:r>
                      <w:rPr>
                        <w:rFonts w:ascii="Noto Sans Devanagari UI" w:eastAsia="Noto Sans Devanagari UI" w:hAnsi="Noto Sans Devanagari UI" w:cs="Mangal"/>
                        <w:color w:val="212121"/>
                        <w:w w:val="97"/>
                        <w:cs/>
                        <w:lang w:bidi="hi-IN"/>
                      </w:rPr>
                      <w:t>म</w:t>
                    </w:r>
                    <w:r>
                      <w:rPr>
                        <w:color w:val="212121"/>
                        <w:sz w:val="24"/>
                        <w:szCs w:val="24"/>
                      </w:rPr>
                      <w:t xml:space="preserve">, </w:t>
                    </w:r>
                    <w:r>
                      <w:rPr>
                        <w:rFonts w:ascii="Noto Sans Devanagari UI" w:eastAsia="Noto Sans Devanagari UI" w:hAnsi="Noto Sans Devanagari UI" w:cs="Mangal"/>
                        <w:color w:val="212121"/>
                        <w:spacing w:val="-7"/>
                        <w:w w:val="106"/>
                        <w:cs/>
                        <w:lang w:bidi="hi-IN"/>
                      </w:rPr>
                      <w:t>च</w:t>
                    </w:r>
                    <w:r>
                      <w:rPr>
                        <w:rFonts w:ascii="Noto Sans Devanagari UI" w:eastAsia="Noto Sans Devanagari UI" w:hAnsi="Noto Sans Devanagari UI" w:cs="Mangal"/>
                        <w:color w:val="212121"/>
                        <w:spacing w:val="5"/>
                        <w:cs/>
                        <w:lang w:bidi="hi-IN"/>
                      </w:rPr>
                      <w:t>े</w:t>
                    </w:r>
                    <w:r>
                      <w:rPr>
                        <w:rFonts w:ascii="Noto Sans Devanagari UI" w:eastAsia="Noto Sans Devanagari UI" w:hAnsi="Noto Sans Devanagari UI" w:cs="Mangal"/>
                        <w:color w:val="212121"/>
                        <w:w w:val="56"/>
                        <w:cs/>
                        <w:lang w:bidi="hi-IN"/>
                      </w:rPr>
                      <w:t>न्न</w:t>
                    </w:r>
                    <w:r>
                      <w:rPr>
                        <w:rFonts w:ascii="Noto Sans Devanagari UI" w:eastAsia="Noto Sans Devanagari UI" w:hAnsi="Noto Sans Devanagari UI" w:cs="Mangal"/>
                        <w:color w:val="212121"/>
                        <w:w w:val="119"/>
                        <w:cs/>
                        <w:lang w:bidi="hi-IN"/>
                      </w:rPr>
                      <w:t>ई</w:t>
                    </w:r>
                    <w:r>
                      <w:rPr>
                        <w:rFonts w:ascii="Noto Sans Devanagari UI" w:eastAsia="Noto Sans Devanagari UI" w:hAnsi="Noto Sans Devanagari UI" w:cs="Noto Sans Devanagari UI"/>
                        <w:color w:val="212121"/>
                        <w:spacing w:val="-1"/>
                        <w:w w:val="105"/>
                        <w:sz w:val="24"/>
                        <w:szCs w:val="24"/>
                      </w:rPr>
                      <w:t>-</w:t>
                    </w:r>
                    <w:r>
                      <w:rPr>
                        <w:rFonts w:ascii="Noto Sans Devanagari UI" w:eastAsia="Noto Sans Devanagari UI" w:hAnsi="Noto Sans Devanagari UI" w:cs="Noto Sans Devanagari UI"/>
                        <w:color w:val="212121"/>
                        <w:w w:val="105"/>
                        <w:sz w:val="24"/>
                        <w:szCs w:val="24"/>
                      </w:rPr>
                      <w:t>3</w:t>
                    </w:r>
                    <w:r>
                      <w:rPr>
                        <w:rFonts w:ascii="Noto Sans Devanagari UI" w:eastAsia="Noto Sans Devanagari UI" w:hAnsi="Noto Sans Devanagari UI" w:cs="Noto Sans Devanagari UI"/>
                        <w:color w:val="212121"/>
                        <w:w w:val="97"/>
                        <w:sz w:val="24"/>
                        <w:szCs w:val="24"/>
                      </w:rPr>
                      <w:t>4</w:t>
                    </w:r>
                  </w:p>
                  <w:p w:rsidR="00F31F55" w:rsidRDefault="004C2501">
                    <w:pPr>
                      <w:spacing w:line="290" w:lineRule="exact"/>
                      <w:ind w:right="105"/>
                      <w:jc w:val="right"/>
                      <w:rPr>
                        <w:rFonts w:ascii="Carlito"/>
                        <w:b/>
                        <w:sz w:val="24"/>
                      </w:rPr>
                    </w:pPr>
                    <w:r>
                      <w:rPr>
                        <w:rFonts w:ascii="Carlito"/>
                        <w:b/>
                        <w:sz w:val="24"/>
                      </w:rPr>
                      <w:t>Tele: 044-28331101 Fax:044-28331104</w:t>
                    </w:r>
                    <w:r>
                      <w:rPr>
                        <w:rFonts w:ascii="Carlito"/>
                        <w:b/>
                        <w:spacing w:val="-16"/>
                        <w:sz w:val="24"/>
                      </w:rPr>
                      <w:t xml:space="preserve"> </w:t>
                    </w:r>
                    <w:r>
                      <w:rPr>
                        <w:rFonts w:ascii="Carlito"/>
                        <w:b/>
                        <w:sz w:val="24"/>
                      </w:rPr>
                      <w:t>Mail:</w:t>
                    </w:r>
                  </w:p>
                  <w:p w:rsidR="00F31F55" w:rsidRDefault="00F31F55">
                    <w:pPr>
                      <w:spacing w:line="288" w:lineRule="exact"/>
                      <w:ind w:right="101"/>
                      <w:jc w:val="right"/>
                      <w:rPr>
                        <w:rFonts w:ascii="Carlito"/>
                        <w:b/>
                        <w:sz w:val="24"/>
                      </w:rPr>
                    </w:pPr>
                    <w:hyperlink r:id="rId8">
                      <w:r w:rsidR="004C2501">
                        <w:rPr>
                          <w:rFonts w:ascii="Carlito"/>
                          <w:b/>
                          <w:spacing w:val="-2"/>
                          <w:sz w:val="24"/>
                        </w:rPr>
                        <w:t>dgschennai@icegate.gov.in</w:t>
                      </w:r>
                    </w:hyperlink>
                  </w:p>
                </w:txbxContent>
              </v:textbox>
            </v:shape>
            <w10:wrap type="none"/>
            <w10:anchorlock/>
          </v:group>
        </w:pict>
      </w:r>
    </w:p>
    <w:p w:rsidR="00F31F55" w:rsidRDefault="00F31F55">
      <w:pPr>
        <w:pStyle w:val="BodyText"/>
        <w:spacing w:before="4"/>
        <w:rPr>
          <w:sz w:val="13"/>
        </w:rPr>
      </w:pPr>
    </w:p>
    <w:p w:rsidR="00F31F55" w:rsidRDefault="004C2501">
      <w:pPr>
        <w:pStyle w:val="BodyText"/>
        <w:tabs>
          <w:tab w:val="left" w:pos="7321"/>
        </w:tabs>
        <w:spacing w:before="90"/>
        <w:ind w:left="122"/>
      </w:pPr>
      <w:r>
        <w:t>C.No</w:t>
      </w:r>
      <w:r>
        <w:rPr>
          <w:spacing w:val="-3"/>
        </w:rPr>
        <w:t xml:space="preserve"> </w:t>
      </w:r>
      <w:r>
        <w:t>IV/26/11/2017-</w:t>
      </w:r>
      <w:r>
        <w:rPr>
          <w:spacing w:val="-1"/>
        </w:rPr>
        <w:t xml:space="preserve"> </w:t>
      </w:r>
      <w:r>
        <w:t>Systems(S)</w:t>
      </w:r>
      <w:r>
        <w:tab/>
        <w:t>Date: 20.04.2021</w:t>
      </w:r>
    </w:p>
    <w:p w:rsidR="00F31F55" w:rsidRDefault="00F31F55">
      <w:pPr>
        <w:pStyle w:val="BodyText"/>
        <w:rPr>
          <w:sz w:val="26"/>
        </w:rPr>
      </w:pPr>
    </w:p>
    <w:p w:rsidR="00F31F55" w:rsidRDefault="00F31F55">
      <w:pPr>
        <w:pStyle w:val="BodyText"/>
        <w:rPr>
          <w:sz w:val="22"/>
        </w:rPr>
      </w:pPr>
    </w:p>
    <w:p w:rsidR="00F31F55" w:rsidRDefault="004C2501">
      <w:pPr>
        <w:pStyle w:val="Heading1"/>
        <w:ind w:left="3118"/>
      </w:pPr>
      <w:r>
        <w:rPr>
          <w:u w:val="single"/>
        </w:rPr>
        <w:t>ADVISORY No. 8 /2021- REFUNDS</w:t>
      </w:r>
    </w:p>
    <w:p w:rsidR="00F31F55" w:rsidRDefault="00F31F55">
      <w:pPr>
        <w:pStyle w:val="BodyText"/>
        <w:spacing w:before="2"/>
        <w:rPr>
          <w:b/>
          <w:sz w:val="16"/>
        </w:rPr>
      </w:pPr>
    </w:p>
    <w:p w:rsidR="00F31F55" w:rsidRDefault="004C2501">
      <w:pPr>
        <w:spacing w:before="90"/>
        <w:ind w:left="841"/>
        <w:rPr>
          <w:b/>
          <w:sz w:val="24"/>
        </w:rPr>
      </w:pPr>
      <w:r>
        <w:rPr>
          <w:b/>
          <w:sz w:val="24"/>
        </w:rPr>
        <w:t>Sub: Implementation of PMT-03 to re-credit the ITC sanctioned as refund- Reg</w:t>
      </w:r>
    </w:p>
    <w:p w:rsidR="00F31F55" w:rsidRDefault="00F31F55">
      <w:pPr>
        <w:pStyle w:val="BodyText"/>
        <w:rPr>
          <w:b/>
        </w:rPr>
      </w:pPr>
    </w:p>
    <w:p w:rsidR="00F31F55" w:rsidRDefault="004C2501">
      <w:pPr>
        <w:pStyle w:val="BodyText"/>
        <w:ind w:left="4317" w:right="4312"/>
        <w:jc w:val="center"/>
      </w:pPr>
      <w:r>
        <w:t>*****</w:t>
      </w:r>
    </w:p>
    <w:p w:rsidR="00F31F55" w:rsidRDefault="00F31F55">
      <w:pPr>
        <w:pStyle w:val="BodyText"/>
        <w:spacing w:before="4"/>
      </w:pPr>
    </w:p>
    <w:p w:rsidR="00F31F55" w:rsidRDefault="004C2501">
      <w:pPr>
        <w:pStyle w:val="BodyText"/>
        <w:spacing w:line="360" w:lineRule="auto"/>
        <w:ind w:left="121" w:right="119" w:firstLine="720"/>
        <w:jc w:val="both"/>
      </w:pPr>
      <w:r>
        <w:t>Kind reference is invited to the notification No.16/2020-Central Tax dated 23.03.2020, vide which sub-Rule (4A) has been inserted in Rule 86 of the CGST Rules, 2017 and Para 4 of the Circular No 135/05/2020 dated 31.03.2020, wherein the procedure for refun</w:t>
      </w:r>
      <w:r>
        <w:t>d of tax paid on supplies, other than zero rated supplies was</w:t>
      </w:r>
      <w:r>
        <w:rPr>
          <w:spacing w:val="-1"/>
        </w:rPr>
        <w:t xml:space="preserve"> </w:t>
      </w:r>
      <w:r>
        <w:t>provided.</w:t>
      </w:r>
    </w:p>
    <w:p w:rsidR="00F31F55" w:rsidRDefault="00F31F55">
      <w:pPr>
        <w:pStyle w:val="BodyText"/>
        <w:spacing w:before="4"/>
      </w:pPr>
    </w:p>
    <w:p w:rsidR="00F31F55" w:rsidRDefault="004C2501">
      <w:pPr>
        <w:pStyle w:val="ListParagraph"/>
        <w:numPr>
          <w:ilvl w:val="0"/>
          <w:numId w:val="2"/>
        </w:numPr>
        <w:tabs>
          <w:tab w:val="left" w:pos="842"/>
        </w:tabs>
        <w:spacing w:line="360" w:lineRule="auto"/>
        <w:ind w:left="121" w:right="118" w:firstLine="0"/>
        <w:jc w:val="both"/>
        <w:rPr>
          <w:sz w:val="24"/>
        </w:rPr>
      </w:pPr>
      <w:r>
        <w:rPr>
          <w:sz w:val="24"/>
        </w:rPr>
        <w:t xml:space="preserve">As per sub-Rule 4A of Rule 86 of the CGST Rules, 2017 read with Para 4 of the Circular supra, a tax payer is entitled to refund of tax wrongly paid or paid in excess (other than zero </w:t>
      </w:r>
      <w:r>
        <w:rPr>
          <w:sz w:val="24"/>
        </w:rPr>
        <w:t xml:space="preserve">rated supplies), in the same mode by which the tax liability was discharged, i.e., if the tax was paid by partly debiting the credit ledger and partly debiting the cash ledger, the refund shall be sanctioned in the same proportion. The cash part has to be </w:t>
      </w:r>
      <w:r>
        <w:rPr>
          <w:sz w:val="24"/>
        </w:rPr>
        <w:t>sanctioned and credited to the bank account of the tax payer by issuance of RFD-05 and the credit part should be re-credited to the electronic credit ledger of the tax payer through</w:t>
      </w:r>
      <w:r>
        <w:rPr>
          <w:spacing w:val="-7"/>
          <w:sz w:val="24"/>
        </w:rPr>
        <w:t xml:space="preserve"> </w:t>
      </w:r>
      <w:r>
        <w:rPr>
          <w:sz w:val="24"/>
        </w:rPr>
        <w:t>PMT-03.</w:t>
      </w:r>
    </w:p>
    <w:p w:rsidR="00F31F55" w:rsidRDefault="00F31F55">
      <w:pPr>
        <w:pStyle w:val="BodyText"/>
        <w:spacing w:before="4"/>
      </w:pPr>
    </w:p>
    <w:p w:rsidR="00F31F55" w:rsidRDefault="004C2501">
      <w:pPr>
        <w:pStyle w:val="ListParagraph"/>
        <w:numPr>
          <w:ilvl w:val="0"/>
          <w:numId w:val="2"/>
        </w:numPr>
        <w:tabs>
          <w:tab w:val="left" w:pos="842"/>
        </w:tabs>
        <w:spacing w:before="1" w:line="360" w:lineRule="auto"/>
        <w:ind w:left="121" w:right="120" w:firstLine="0"/>
        <w:jc w:val="both"/>
        <w:rPr>
          <w:sz w:val="24"/>
        </w:rPr>
      </w:pPr>
      <w:r>
        <w:rPr>
          <w:sz w:val="24"/>
        </w:rPr>
        <w:t>The PMT-03 functionality available at present in the online refun</w:t>
      </w:r>
      <w:r>
        <w:rPr>
          <w:sz w:val="24"/>
        </w:rPr>
        <w:t>d module is only for re-crediting of the rejected amount that has been debited at the time of filing of refunds. In order to enable the operationalisation of re-crediting of ITC sanctioned as refund towards tax wrongly paid or paid in excess by debiting th</w:t>
      </w:r>
      <w:r>
        <w:rPr>
          <w:sz w:val="24"/>
        </w:rPr>
        <w:t>e credit ledger, a new enhanced PMT-03 functionality has been developed and deployed in the system. This new functionality is applicable only to the following 4 types of refund as provided in the referred</w:t>
      </w:r>
      <w:r>
        <w:rPr>
          <w:spacing w:val="-9"/>
          <w:sz w:val="24"/>
        </w:rPr>
        <w:t xml:space="preserve"> </w:t>
      </w:r>
      <w:r>
        <w:rPr>
          <w:sz w:val="24"/>
        </w:rPr>
        <w:t>circular.</w:t>
      </w:r>
    </w:p>
    <w:p w:rsidR="00F31F55" w:rsidRDefault="00F31F55">
      <w:pPr>
        <w:spacing w:line="360" w:lineRule="auto"/>
        <w:jc w:val="both"/>
        <w:rPr>
          <w:sz w:val="24"/>
        </w:rPr>
        <w:sectPr w:rsidR="00F31F55">
          <w:headerReference w:type="default" r:id="rId9"/>
          <w:footerReference w:type="default" r:id="rId10"/>
          <w:type w:val="continuous"/>
          <w:pgSz w:w="11910" w:h="16840"/>
          <w:pgMar w:top="1360" w:right="1320" w:bottom="540" w:left="1320" w:header="183" w:footer="341" w:gutter="0"/>
          <w:cols w:space="720"/>
        </w:sectPr>
      </w:pPr>
    </w:p>
    <w:p w:rsidR="00F31F55" w:rsidRDefault="004C2501">
      <w:pPr>
        <w:pStyle w:val="ListParagraph"/>
        <w:numPr>
          <w:ilvl w:val="1"/>
          <w:numId w:val="2"/>
        </w:numPr>
        <w:tabs>
          <w:tab w:val="left" w:pos="1018"/>
        </w:tabs>
        <w:spacing w:before="80"/>
        <w:ind w:hanging="187"/>
        <w:rPr>
          <w:sz w:val="24"/>
        </w:rPr>
      </w:pPr>
      <w:r>
        <w:rPr>
          <w:sz w:val="24"/>
        </w:rPr>
        <w:lastRenderedPageBreak/>
        <w:t>Refund of excess payment of</w:t>
      </w:r>
      <w:r>
        <w:rPr>
          <w:spacing w:val="2"/>
          <w:sz w:val="24"/>
        </w:rPr>
        <w:t xml:space="preserve"> </w:t>
      </w:r>
      <w:r>
        <w:rPr>
          <w:sz w:val="24"/>
        </w:rPr>
        <w:t>tax;</w:t>
      </w:r>
    </w:p>
    <w:p w:rsidR="00F31F55" w:rsidRDefault="004C2501">
      <w:pPr>
        <w:pStyle w:val="ListParagraph"/>
        <w:numPr>
          <w:ilvl w:val="1"/>
          <w:numId w:val="2"/>
        </w:numPr>
        <w:tabs>
          <w:tab w:val="left" w:pos="1084"/>
        </w:tabs>
        <w:ind w:left="831" w:right="563" w:firstLine="0"/>
        <w:rPr>
          <w:sz w:val="24"/>
        </w:rPr>
      </w:pPr>
      <w:r>
        <w:rPr>
          <w:sz w:val="24"/>
        </w:rPr>
        <w:t>Refund of tax paid on intra-State supply which is subsequently held to be inter- State supply and vice</w:t>
      </w:r>
      <w:r>
        <w:rPr>
          <w:spacing w:val="2"/>
          <w:sz w:val="24"/>
        </w:rPr>
        <w:t xml:space="preserve"> </w:t>
      </w:r>
      <w:r>
        <w:rPr>
          <w:sz w:val="24"/>
        </w:rPr>
        <w:t>versa;</w:t>
      </w:r>
    </w:p>
    <w:p w:rsidR="00F31F55" w:rsidRDefault="004C2501">
      <w:pPr>
        <w:pStyle w:val="ListParagraph"/>
        <w:numPr>
          <w:ilvl w:val="1"/>
          <w:numId w:val="2"/>
        </w:numPr>
        <w:tabs>
          <w:tab w:val="left" w:pos="1152"/>
        </w:tabs>
        <w:ind w:left="831" w:right="350" w:firstLine="0"/>
        <w:rPr>
          <w:sz w:val="24"/>
        </w:rPr>
      </w:pPr>
      <w:r>
        <w:rPr>
          <w:sz w:val="24"/>
        </w:rPr>
        <w:t>Refund on account of assessment/provisional assessment/appeal/any other order; and</w:t>
      </w:r>
    </w:p>
    <w:p w:rsidR="00F31F55" w:rsidRDefault="004C2501">
      <w:pPr>
        <w:pStyle w:val="ListParagraph"/>
        <w:numPr>
          <w:ilvl w:val="1"/>
          <w:numId w:val="2"/>
        </w:numPr>
        <w:tabs>
          <w:tab w:val="left" w:pos="1138"/>
        </w:tabs>
        <w:ind w:left="1138" w:hanging="307"/>
        <w:rPr>
          <w:sz w:val="24"/>
        </w:rPr>
      </w:pPr>
      <w:r>
        <w:rPr>
          <w:sz w:val="24"/>
        </w:rPr>
        <w:t>Refund on account of “any other” ground or</w:t>
      </w:r>
      <w:r>
        <w:rPr>
          <w:spacing w:val="1"/>
          <w:sz w:val="24"/>
        </w:rPr>
        <w:t xml:space="preserve"> </w:t>
      </w:r>
      <w:r>
        <w:rPr>
          <w:sz w:val="24"/>
        </w:rPr>
        <w:t>reason.</w:t>
      </w:r>
    </w:p>
    <w:p w:rsidR="00F31F55" w:rsidRDefault="00F31F55">
      <w:pPr>
        <w:pStyle w:val="BodyText"/>
        <w:spacing w:before="11"/>
        <w:rPr>
          <w:sz w:val="23"/>
        </w:rPr>
      </w:pPr>
    </w:p>
    <w:p w:rsidR="00F31F55" w:rsidRDefault="004C2501">
      <w:pPr>
        <w:pStyle w:val="ListParagraph"/>
        <w:numPr>
          <w:ilvl w:val="0"/>
          <w:numId w:val="2"/>
        </w:numPr>
        <w:tabs>
          <w:tab w:val="left" w:pos="842"/>
        </w:tabs>
        <w:spacing w:line="360" w:lineRule="auto"/>
        <w:ind w:left="121" w:right="125" w:firstLine="0"/>
        <w:jc w:val="both"/>
        <w:rPr>
          <w:sz w:val="24"/>
        </w:rPr>
      </w:pPr>
      <w:r>
        <w:rPr>
          <w:sz w:val="24"/>
        </w:rPr>
        <w:t>The procedure to use this functionality is explained in detail in the User Manual that is attached herewith. It is requested to share this advisory and user manual with all the officers processing refunds in your jurisdiction for necessary action. Any diff</w:t>
      </w:r>
      <w:r>
        <w:rPr>
          <w:sz w:val="24"/>
        </w:rPr>
        <w:t>iculty in using the functionality and processing the applications may please be reported to helpdesk by raising tickets wit</w:t>
      </w:r>
      <w:hyperlink r:id="rId11">
        <w:r>
          <w:rPr>
            <w:sz w:val="24"/>
          </w:rPr>
          <w:t>h</w:t>
        </w:r>
        <w:r>
          <w:rPr>
            <w:spacing w:val="2"/>
            <w:sz w:val="24"/>
          </w:rPr>
          <w:t xml:space="preserve"> </w:t>
        </w:r>
        <w:r>
          <w:rPr>
            <w:sz w:val="24"/>
          </w:rPr>
          <w:t>cbicmitra.helpdesk@icegate.gov.in.</w:t>
        </w:r>
      </w:hyperlink>
    </w:p>
    <w:p w:rsidR="00F31F55" w:rsidRDefault="00F31F55">
      <w:pPr>
        <w:pStyle w:val="BodyText"/>
        <w:rPr>
          <w:sz w:val="26"/>
        </w:rPr>
      </w:pPr>
    </w:p>
    <w:p w:rsidR="00F31F55" w:rsidRDefault="00F31F55">
      <w:pPr>
        <w:pStyle w:val="BodyText"/>
        <w:rPr>
          <w:sz w:val="26"/>
        </w:rPr>
      </w:pPr>
    </w:p>
    <w:p w:rsidR="00F31F55" w:rsidRDefault="00F31F55">
      <w:pPr>
        <w:pStyle w:val="BodyText"/>
        <w:rPr>
          <w:sz w:val="26"/>
        </w:rPr>
      </w:pPr>
    </w:p>
    <w:p w:rsidR="00F31F55" w:rsidRDefault="00F31F55">
      <w:pPr>
        <w:pStyle w:val="BodyText"/>
        <w:spacing w:before="3"/>
        <w:rPr>
          <w:sz w:val="30"/>
        </w:rPr>
      </w:pPr>
    </w:p>
    <w:p w:rsidR="00F31F55" w:rsidRDefault="004C2501">
      <w:pPr>
        <w:pStyle w:val="BodyText"/>
        <w:spacing w:line="278" w:lineRule="auto"/>
        <w:ind w:left="5928" w:right="101" w:firstLine="561"/>
        <w:rPr>
          <w:rFonts w:ascii="Bookman Uralic"/>
        </w:rPr>
      </w:pPr>
      <w:r>
        <w:rPr>
          <w:rFonts w:ascii="Bookman Uralic"/>
        </w:rPr>
        <w:t>(S. Thirunavukkarasu) Additional D</w:t>
      </w:r>
      <w:r>
        <w:rPr>
          <w:rFonts w:ascii="Bookman Uralic"/>
        </w:rPr>
        <w:t>irector General</w:t>
      </w:r>
    </w:p>
    <w:p w:rsidR="00F31F55" w:rsidRDefault="004C2501">
      <w:pPr>
        <w:pStyle w:val="BodyText"/>
        <w:spacing w:before="230"/>
        <w:ind w:left="122"/>
      </w:pPr>
      <w:r>
        <w:t>To</w:t>
      </w:r>
    </w:p>
    <w:p w:rsidR="00F31F55" w:rsidRDefault="004C2501">
      <w:pPr>
        <w:pStyle w:val="ListParagraph"/>
        <w:numPr>
          <w:ilvl w:val="0"/>
          <w:numId w:val="1"/>
        </w:numPr>
        <w:tabs>
          <w:tab w:val="left" w:pos="362"/>
        </w:tabs>
        <w:rPr>
          <w:sz w:val="24"/>
        </w:rPr>
      </w:pPr>
      <w:r>
        <w:rPr>
          <w:sz w:val="24"/>
        </w:rPr>
        <w:t>All the Pr. Chief Commissioners/Chief Commissioners of GST</w:t>
      </w:r>
      <w:r>
        <w:rPr>
          <w:spacing w:val="-3"/>
          <w:sz w:val="24"/>
        </w:rPr>
        <w:t xml:space="preserve"> </w:t>
      </w:r>
      <w:r>
        <w:rPr>
          <w:sz w:val="24"/>
        </w:rPr>
        <w:t>Zones.</w:t>
      </w:r>
    </w:p>
    <w:p w:rsidR="00F31F55" w:rsidRDefault="004C2501">
      <w:pPr>
        <w:pStyle w:val="ListParagraph"/>
        <w:numPr>
          <w:ilvl w:val="0"/>
          <w:numId w:val="1"/>
        </w:numPr>
        <w:tabs>
          <w:tab w:val="left" w:pos="362"/>
        </w:tabs>
        <w:rPr>
          <w:sz w:val="24"/>
        </w:rPr>
      </w:pPr>
      <w:r>
        <w:rPr>
          <w:sz w:val="24"/>
        </w:rPr>
        <w:t>The Member and Pr. Director General, Systems &amp; Data Management, New</w:t>
      </w:r>
      <w:r>
        <w:rPr>
          <w:spacing w:val="-6"/>
          <w:sz w:val="24"/>
        </w:rPr>
        <w:t xml:space="preserve"> </w:t>
      </w:r>
      <w:r>
        <w:rPr>
          <w:sz w:val="24"/>
        </w:rPr>
        <w:t>Delhi.</w:t>
      </w:r>
    </w:p>
    <w:p w:rsidR="00F31F55" w:rsidRDefault="004C2501">
      <w:pPr>
        <w:pStyle w:val="ListParagraph"/>
        <w:numPr>
          <w:ilvl w:val="0"/>
          <w:numId w:val="1"/>
        </w:numPr>
        <w:tabs>
          <w:tab w:val="left" w:pos="362"/>
        </w:tabs>
        <w:rPr>
          <w:sz w:val="24"/>
        </w:rPr>
      </w:pPr>
      <w:r>
        <w:rPr>
          <w:sz w:val="24"/>
        </w:rPr>
        <w:t>The Pr. DG/DG, DGGI/DGGST/DG (Audit)/DG</w:t>
      </w:r>
      <w:r>
        <w:rPr>
          <w:spacing w:val="1"/>
          <w:sz w:val="24"/>
        </w:rPr>
        <w:t xml:space="preserve"> </w:t>
      </w:r>
      <w:r>
        <w:rPr>
          <w:sz w:val="24"/>
        </w:rPr>
        <w:t>(TPS).</w:t>
      </w:r>
    </w:p>
    <w:p w:rsidR="00F31F55" w:rsidRDefault="004C2501">
      <w:pPr>
        <w:pStyle w:val="ListParagraph"/>
        <w:numPr>
          <w:ilvl w:val="0"/>
          <w:numId w:val="1"/>
        </w:numPr>
        <w:tabs>
          <w:tab w:val="left" w:pos="362"/>
        </w:tabs>
        <w:rPr>
          <w:sz w:val="24"/>
        </w:rPr>
      </w:pPr>
      <w:r>
        <w:rPr>
          <w:sz w:val="24"/>
        </w:rPr>
        <w:t>The Commissioner, GST (Policy</w:t>
      </w:r>
      <w:r>
        <w:rPr>
          <w:spacing w:val="3"/>
          <w:sz w:val="24"/>
        </w:rPr>
        <w:t xml:space="preserve"> </w:t>
      </w:r>
      <w:r>
        <w:rPr>
          <w:sz w:val="24"/>
        </w:rPr>
        <w:t>Wing).</w:t>
      </w:r>
    </w:p>
    <w:p w:rsidR="00F31F55" w:rsidRDefault="004C2501">
      <w:pPr>
        <w:pStyle w:val="ListParagraph"/>
        <w:numPr>
          <w:ilvl w:val="0"/>
          <w:numId w:val="1"/>
        </w:numPr>
        <w:tabs>
          <w:tab w:val="left" w:pos="362"/>
        </w:tabs>
        <w:rPr>
          <w:sz w:val="24"/>
        </w:rPr>
      </w:pPr>
      <w:r>
        <w:rPr>
          <w:sz w:val="24"/>
        </w:rPr>
        <w:t>All the Pr. Commissioners/Commissioners of GST.</w:t>
      </w:r>
    </w:p>
    <w:p w:rsidR="00F31F55" w:rsidRDefault="004C2501">
      <w:pPr>
        <w:pStyle w:val="ListParagraph"/>
        <w:numPr>
          <w:ilvl w:val="0"/>
          <w:numId w:val="1"/>
        </w:numPr>
        <w:tabs>
          <w:tab w:val="left" w:pos="362"/>
        </w:tabs>
        <w:rPr>
          <w:sz w:val="24"/>
        </w:rPr>
      </w:pPr>
      <w:r>
        <w:rPr>
          <w:sz w:val="24"/>
        </w:rPr>
        <w:t>The ADGs of Systems, New Delhi/ Bengaluru /</w:t>
      </w:r>
      <w:r>
        <w:rPr>
          <w:spacing w:val="-2"/>
          <w:sz w:val="24"/>
        </w:rPr>
        <w:t xml:space="preserve"> </w:t>
      </w:r>
      <w:r>
        <w:rPr>
          <w:sz w:val="24"/>
        </w:rPr>
        <w:t>Kolkata/Mumbai.</w:t>
      </w:r>
    </w:p>
    <w:sectPr w:rsidR="00F31F55" w:rsidSect="00F31F55">
      <w:pgSz w:w="11910" w:h="16840"/>
      <w:pgMar w:top="1360" w:right="1320" w:bottom="540" w:left="1320" w:header="183" w:footer="3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501" w:rsidRDefault="004C2501" w:rsidP="00F31F55">
      <w:r>
        <w:separator/>
      </w:r>
    </w:p>
  </w:endnote>
  <w:endnote w:type="continuationSeparator" w:id="1">
    <w:p w:rsidR="004C2501" w:rsidRDefault="004C2501" w:rsidP="00F31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sig w:usb0="00000000" w:usb1="00000000" w:usb2="00000000" w:usb3="00000000" w:csb0="00000000" w:csb1="00000000"/>
  </w:font>
  <w:font w:name="Noto Sans Devanagari UI">
    <w:altName w:val="Arial"/>
    <w:charset w:val="00"/>
    <w:family w:val="swiss"/>
    <w:pitch w:val="variable"/>
    <w:sig w:usb0="00000000" w:usb1="00000000" w:usb2="00000000" w:usb3="00000000" w:csb0="00000000" w:csb1="00000000"/>
  </w:font>
  <w:font w:name="DejaVu Sans">
    <w:altName w:val="Arial"/>
    <w:charset w:val="00"/>
    <w:family w:val="swiss"/>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55" w:rsidRDefault="00F31F55">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501" w:rsidRDefault="004C2501" w:rsidP="00F31F55">
      <w:r>
        <w:separator/>
      </w:r>
    </w:p>
  </w:footnote>
  <w:footnote w:type="continuationSeparator" w:id="1">
    <w:p w:rsidR="004C2501" w:rsidRDefault="004C2501" w:rsidP="00F31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55" w:rsidRDefault="00F31F55">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F22E0"/>
    <w:multiLevelType w:val="hybridMultilevel"/>
    <w:tmpl w:val="58BA5D46"/>
    <w:lvl w:ilvl="0" w:tplc="E29AE2A6">
      <w:start w:val="2"/>
      <w:numFmt w:val="decimal"/>
      <w:lvlText w:val="%1."/>
      <w:lvlJc w:val="left"/>
      <w:pPr>
        <w:ind w:left="122" w:hanging="720"/>
        <w:jc w:val="left"/>
      </w:pPr>
      <w:rPr>
        <w:rFonts w:ascii="Times New Roman" w:eastAsia="Times New Roman" w:hAnsi="Times New Roman" w:cs="Times New Roman" w:hint="default"/>
        <w:spacing w:val="-29"/>
        <w:w w:val="100"/>
        <w:sz w:val="24"/>
        <w:szCs w:val="24"/>
        <w:lang w:val="en-US" w:eastAsia="en-US" w:bidi="ar-SA"/>
      </w:rPr>
    </w:lvl>
    <w:lvl w:ilvl="1" w:tplc="B78031B0">
      <w:start w:val="1"/>
      <w:numFmt w:val="lowerRoman"/>
      <w:lvlText w:val="%2."/>
      <w:lvlJc w:val="left"/>
      <w:pPr>
        <w:ind w:left="1018" w:hanging="186"/>
        <w:jc w:val="left"/>
      </w:pPr>
      <w:rPr>
        <w:rFonts w:ascii="Times New Roman" w:eastAsia="Times New Roman" w:hAnsi="Times New Roman" w:cs="Times New Roman" w:hint="default"/>
        <w:spacing w:val="-1"/>
        <w:w w:val="100"/>
        <w:sz w:val="24"/>
        <w:szCs w:val="24"/>
        <w:lang w:val="en-US" w:eastAsia="en-US" w:bidi="ar-SA"/>
      </w:rPr>
    </w:lvl>
    <w:lvl w:ilvl="2" w:tplc="917E011A">
      <w:numFmt w:val="bullet"/>
      <w:lvlText w:val="•"/>
      <w:lvlJc w:val="left"/>
      <w:pPr>
        <w:ind w:left="1936" w:hanging="186"/>
      </w:pPr>
      <w:rPr>
        <w:rFonts w:hint="default"/>
        <w:lang w:val="en-US" w:eastAsia="en-US" w:bidi="ar-SA"/>
      </w:rPr>
    </w:lvl>
    <w:lvl w:ilvl="3" w:tplc="9488BE1C">
      <w:numFmt w:val="bullet"/>
      <w:lvlText w:val="•"/>
      <w:lvlJc w:val="left"/>
      <w:pPr>
        <w:ind w:left="2852" w:hanging="186"/>
      </w:pPr>
      <w:rPr>
        <w:rFonts w:hint="default"/>
        <w:lang w:val="en-US" w:eastAsia="en-US" w:bidi="ar-SA"/>
      </w:rPr>
    </w:lvl>
    <w:lvl w:ilvl="4" w:tplc="E1B0A1A0">
      <w:numFmt w:val="bullet"/>
      <w:lvlText w:val="•"/>
      <w:lvlJc w:val="left"/>
      <w:pPr>
        <w:ind w:left="3768" w:hanging="186"/>
      </w:pPr>
      <w:rPr>
        <w:rFonts w:hint="default"/>
        <w:lang w:val="en-US" w:eastAsia="en-US" w:bidi="ar-SA"/>
      </w:rPr>
    </w:lvl>
    <w:lvl w:ilvl="5" w:tplc="F758705C">
      <w:numFmt w:val="bullet"/>
      <w:lvlText w:val="•"/>
      <w:lvlJc w:val="left"/>
      <w:pPr>
        <w:ind w:left="4684" w:hanging="186"/>
      </w:pPr>
      <w:rPr>
        <w:rFonts w:hint="default"/>
        <w:lang w:val="en-US" w:eastAsia="en-US" w:bidi="ar-SA"/>
      </w:rPr>
    </w:lvl>
    <w:lvl w:ilvl="6" w:tplc="14242046">
      <w:numFmt w:val="bullet"/>
      <w:lvlText w:val="•"/>
      <w:lvlJc w:val="left"/>
      <w:pPr>
        <w:ind w:left="5601" w:hanging="186"/>
      </w:pPr>
      <w:rPr>
        <w:rFonts w:hint="default"/>
        <w:lang w:val="en-US" w:eastAsia="en-US" w:bidi="ar-SA"/>
      </w:rPr>
    </w:lvl>
    <w:lvl w:ilvl="7" w:tplc="7E18D138">
      <w:numFmt w:val="bullet"/>
      <w:lvlText w:val="•"/>
      <w:lvlJc w:val="left"/>
      <w:pPr>
        <w:ind w:left="6517" w:hanging="186"/>
      </w:pPr>
      <w:rPr>
        <w:rFonts w:hint="default"/>
        <w:lang w:val="en-US" w:eastAsia="en-US" w:bidi="ar-SA"/>
      </w:rPr>
    </w:lvl>
    <w:lvl w:ilvl="8" w:tplc="E9C268D0">
      <w:numFmt w:val="bullet"/>
      <w:lvlText w:val="•"/>
      <w:lvlJc w:val="left"/>
      <w:pPr>
        <w:ind w:left="7433" w:hanging="186"/>
      </w:pPr>
      <w:rPr>
        <w:rFonts w:hint="default"/>
        <w:lang w:val="en-US" w:eastAsia="en-US" w:bidi="ar-SA"/>
      </w:rPr>
    </w:lvl>
  </w:abstractNum>
  <w:abstractNum w:abstractNumId="1">
    <w:nsid w:val="37020044"/>
    <w:multiLevelType w:val="hybridMultilevel"/>
    <w:tmpl w:val="B8E82E46"/>
    <w:lvl w:ilvl="0" w:tplc="AFC6EC78">
      <w:start w:val="1"/>
      <w:numFmt w:val="decimal"/>
      <w:lvlText w:val="%1."/>
      <w:lvlJc w:val="left"/>
      <w:pPr>
        <w:ind w:left="362" w:hanging="240"/>
        <w:jc w:val="left"/>
      </w:pPr>
      <w:rPr>
        <w:rFonts w:ascii="Times New Roman" w:eastAsia="Times New Roman" w:hAnsi="Times New Roman" w:cs="Times New Roman" w:hint="default"/>
        <w:spacing w:val="-2"/>
        <w:w w:val="100"/>
        <w:sz w:val="24"/>
        <w:szCs w:val="24"/>
        <w:lang w:val="en-US" w:eastAsia="en-US" w:bidi="ar-SA"/>
      </w:rPr>
    </w:lvl>
    <w:lvl w:ilvl="1" w:tplc="4DC0330A">
      <w:numFmt w:val="bullet"/>
      <w:lvlText w:val="•"/>
      <w:lvlJc w:val="left"/>
      <w:pPr>
        <w:ind w:left="1250" w:hanging="240"/>
      </w:pPr>
      <w:rPr>
        <w:rFonts w:hint="default"/>
        <w:lang w:val="en-US" w:eastAsia="en-US" w:bidi="ar-SA"/>
      </w:rPr>
    </w:lvl>
    <w:lvl w:ilvl="2" w:tplc="6AE661A4">
      <w:numFmt w:val="bullet"/>
      <w:lvlText w:val="•"/>
      <w:lvlJc w:val="left"/>
      <w:pPr>
        <w:ind w:left="2141" w:hanging="240"/>
      </w:pPr>
      <w:rPr>
        <w:rFonts w:hint="default"/>
        <w:lang w:val="en-US" w:eastAsia="en-US" w:bidi="ar-SA"/>
      </w:rPr>
    </w:lvl>
    <w:lvl w:ilvl="3" w:tplc="63461302">
      <w:numFmt w:val="bullet"/>
      <w:lvlText w:val="•"/>
      <w:lvlJc w:val="left"/>
      <w:pPr>
        <w:ind w:left="3031" w:hanging="240"/>
      </w:pPr>
      <w:rPr>
        <w:rFonts w:hint="default"/>
        <w:lang w:val="en-US" w:eastAsia="en-US" w:bidi="ar-SA"/>
      </w:rPr>
    </w:lvl>
    <w:lvl w:ilvl="4" w:tplc="74A69166">
      <w:numFmt w:val="bullet"/>
      <w:lvlText w:val="•"/>
      <w:lvlJc w:val="left"/>
      <w:pPr>
        <w:ind w:left="3922" w:hanging="240"/>
      </w:pPr>
      <w:rPr>
        <w:rFonts w:hint="default"/>
        <w:lang w:val="en-US" w:eastAsia="en-US" w:bidi="ar-SA"/>
      </w:rPr>
    </w:lvl>
    <w:lvl w:ilvl="5" w:tplc="8E26B3A6">
      <w:numFmt w:val="bullet"/>
      <w:lvlText w:val="•"/>
      <w:lvlJc w:val="left"/>
      <w:pPr>
        <w:ind w:left="4813" w:hanging="240"/>
      </w:pPr>
      <w:rPr>
        <w:rFonts w:hint="default"/>
        <w:lang w:val="en-US" w:eastAsia="en-US" w:bidi="ar-SA"/>
      </w:rPr>
    </w:lvl>
    <w:lvl w:ilvl="6" w:tplc="734C8B96">
      <w:numFmt w:val="bullet"/>
      <w:lvlText w:val="•"/>
      <w:lvlJc w:val="left"/>
      <w:pPr>
        <w:ind w:left="5703" w:hanging="240"/>
      </w:pPr>
      <w:rPr>
        <w:rFonts w:hint="default"/>
        <w:lang w:val="en-US" w:eastAsia="en-US" w:bidi="ar-SA"/>
      </w:rPr>
    </w:lvl>
    <w:lvl w:ilvl="7" w:tplc="63D2EC66">
      <w:numFmt w:val="bullet"/>
      <w:lvlText w:val="•"/>
      <w:lvlJc w:val="left"/>
      <w:pPr>
        <w:ind w:left="6594" w:hanging="240"/>
      </w:pPr>
      <w:rPr>
        <w:rFonts w:hint="default"/>
        <w:lang w:val="en-US" w:eastAsia="en-US" w:bidi="ar-SA"/>
      </w:rPr>
    </w:lvl>
    <w:lvl w:ilvl="8" w:tplc="9072CB4A">
      <w:numFmt w:val="bullet"/>
      <w:lvlText w:val="•"/>
      <w:lvlJc w:val="left"/>
      <w:pPr>
        <w:ind w:left="7484" w:hanging="240"/>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F31F55"/>
    <w:rsid w:val="004C2501"/>
    <w:rsid w:val="00EF2BEC"/>
    <w:rsid w:val="00F31F5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1F55"/>
    <w:rPr>
      <w:rFonts w:ascii="Times New Roman" w:eastAsia="Times New Roman" w:hAnsi="Times New Roman" w:cs="Times New Roman"/>
    </w:rPr>
  </w:style>
  <w:style w:type="paragraph" w:styleId="Heading1">
    <w:name w:val="heading 1"/>
    <w:basedOn w:val="Normal"/>
    <w:uiPriority w:val="1"/>
    <w:qFormat/>
    <w:rsid w:val="00F31F55"/>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1F55"/>
    <w:rPr>
      <w:sz w:val="24"/>
      <w:szCs w:val="24"/>
    </w:rPr>
  </w:style>
  <w:style w:type="paragraph" w:styleId="Title">
    <w:name w:val="Title"/>
    <w:basedOn w:val="Normal"/>
    <w:uiPriority w:val="1"/>
    <w:qFormat/>
    <w:rsid w:val="00F31F55"/>
    <w:pPr>
      <w:spacing w:before="5"/>
      <w:ind w:left="20"/>
    </w:pPr>
    <w:rPr>
      <w:rFonts w:ascii="Arial" w:eastAsia="Arial" w:hAnsi="Arial" w:cs="Arial"/>
      <w:sz w:val="44"/>
      <w:szCs w:val="44"/>
    </w:rPr>
  </w:style>
  <w:style w:type="paragraph" w:styleId="ListParagraph">
    <w:name w:val="List Paragraph"/>
    <w:basedOn w:val="Normal"/>
    <w:uiPriority w:val="1"/>
    <w:qFormat/>
    <w:rsid w:val="00F31F55"/>
    <w:pPr>
      <w:ind w:left="362" w:hanging="240"/>
    </w:pPr>
  </w:style>
  <w:style w:type="paragraph" w:customStyle="1" w:styleId="TableParagraph">
    <w:name w:val="Table Paragraph"/>
    <w:basedOn w:val="Normal"/>
    <w:uiPriority w:val="1"/>
    <w:qFormat/>
    <w:rsid w:val="00F31F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gschennai@icegate.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bicmitra.helpdesk@icegate.gov.in"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MATHUR</cp:lastModifiedBy>
  <cp:revision>2</cp:revision>
  <dcterms:created xsi:type="dcterms:W3CDTF">2021-04-21T11:09:00Z</dcterms:created>
  <dcterms:modified xsi:type="dcterms:W3CDTF">2021-04-21T11:10:00Z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Writer</vt:lpwstr>
  </property>
  <property fmtid="{D5CDD505-2E9C-101B-9397-08002B2CF9AE}" pid="4" name="LastSaved">
    <vt:filetime>2021-04-21T00:00:00Z</vt:filetime>
  </property>
</Properties>
</file>